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34" w:rsidRDefault="00B77C34" w:rsidP="00954683">
      <w:pPr>
        <w:pStyle w:val="NoSpacing"/>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4"/>
        <w:gridCol w:w="10374"/>
        <w:gridCol w:w="1430"/>
      </w:tblGrid>
      <w:tr w:rsidR="00B77C34" w:rsidTr="005A688A">
        <w:trPr>
          <w:trHeight w:val="891"/>
        </w:trPr>
        <w:tc>
          <w:tcPr>
            <w:tcW w:w="1614" w:type="dxa"/>
          </w:tcPr>
          <w:p w:rsidR="00B77C34" w:rsidRPr="00383ADB" w:rsidRDefault="00B77C34" w:rsidP="0006260E">
            <w:pPr>
              <w:pStyle w:val="Heading3"/>
              <w:rPr>
                <w:sz w:val="22"/>
                <w:szCs w:val="22"/>
              </w:rPr>
            </w:pPr>
            <w:r>
              <w:rPr>
                <w:b w:val="0"/>
                <w:noProof/>
                <w:sz w:val="22"/>
                <w:szCs w:val="22"/>
                <w:lang w:val="en-US"/>
              </w:rPr>
              <w:drawing>
                <wp:inline distT="0" distB="0" distL="0" distR="0" wp14:anchorId="53510E0C" wp14:editId="6794D226">
                  <wp:extent cx="843701" cy="85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3701" cy="850605"/>
                          </a:xfrm>
                          <a:prstGeom prst="rect">
                            <a:avLst/>
                          </a:prstGeom>
                          <a:noFill/>
                          <a:ln>
                            <a:noFill/>
                          </a:ln>
                        </pic:spPr>
                      </pic:pic>
                    </a:graphicData>
                  </a:graphic>
                </wp:inline>
              </w:drawing>
            </w:r>
          </w:p>
        </w:tc>
        <w:tc>
          <w:tcPr>
            <w:tcW w:w="10374" w:type="dxa"/>
          </w:tcPr>
          <w:p w:rsidR="00B77C34" w:rsidRPr="00383ADB" w:rsidRDefault="00B77C34" w:rsidP="0006260E">
            <w:pPr>
              <w:pStyle w:val="Heading3"/>
              <w:rPr>
                <w:sz w:val="22"/>
                <w:szCs w:val="22"/>
              </w:rPr>
            </w:pPr>
          </w:p>
          <w:p w:rsidR="00B77C34" w:rsidRPr="00383ADB" w:rsidRDefault="00B77C34" w:rsidP="0006260E">
            <w:pPr>
              <w:pStyle w:val="Heading3"/>
              <w:rPr>
                <w:sz w:val="22"/>
                <w:szCs w:val="22"/>
              </w:rPr>
            </w:pPr>
          </w:p>
          <w:p w:rsidR="00B77C34" w:rsidRPr="00383ADB" w:rsidRDefault="00B77C34" w:rsidP="0006260E">
            <w:pPr>
              <w:pStyle w:val="Title"/>
              <w:rPr>
                <w:b/>
                <w:bCs/>
              </w:rPr>
            </w:pPr>
            <w:r w:rsidRPr="00383ADB">
              <w:rPr>
                <w:b/>
                <w:bCs/>
              </w:rPr>
              <w:t>QUARTER REPORTING FORMAT</w:t>
            </w:r>
          </w:p>
          <w:p w:rsidR="00B77C34" w:rsidRPr="00383ADB" w:rsidRDefault="00B77C34" w:rsidP="0006260E">
            <w:pPr>
              <w:pStyle w:val="Heading3"/>
              <w:rPr>
                <w:sz w:val="22"/>
                <w:szCs w:val="22"/>
              </w:rPr>
            </w:pPr>
          </w:p>
        </w:tc>
        <w:tc>
          <w:tcPr>
            <w:tcW w:w="1430" w:type="dxa"/>
          </w:tcPr>
          <w:p w:rsidR="00B77C34" w:rsidRDefault="00B77C34" w:rsidP="0006260E">
            <w:pPr>
              <w:pStyle w:val="Heading3"/>
              <w:rPr>
                <w:sz w:val="22"/>
                <w:szCs w:val="22"/>
              </w:rPr>
            </w:pPr>
            <w:r>
              <w:rPr>
                <w:b w:val="0"/>
                <w:noProof/>
                <w:sz w:val="22"/>
                <w:szCs w:val="22"/>
                <w:lang w:val="en-US"/>
              </w:rPr>
              <w:drawing>
                <wp:inline distT="0" distB="0" distL="0" distR="0" wp14:anchorId="534EFC4E" wp14:editId="183229E2">
                  <wp:extent cx="425303" cy="724150"/>
                  <wp:effectExtent l="0" t="0" r="0" b="0"/>
                  <wp:docPr id="1" name="Picture 1" descr="C:\Documents and Settings\eric.opoku\My Documents\My Pictures\UNDP\UN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ric.opoku\My Documents\My Pictures\UNDP\UND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316" cy="724172"/>
                          </a:xfrm>
                          <a:prstGeom prst="rect">
                            <a:avLst/>
                          </a:prstGeom>
                          <a:noFill/>
                          <a:ln>
                            <a:noFill/>
                          </a:ln>
                        </pic:spPr>
                      </pic:pic>
                    </a:graphicData>
                  </a:graphic>
                </wp:inline>
              </w:drawing>
            </w:r>
          </w:p>
          <w:p w:rsidR="005A688A" w:rsidRPr="005A688A" w:rsidRDefault="005A688A" w:rsidP="005A688A">
            <w:pPr>
              <w:rPr>
                <w:lang w:val="en-GB"/>
              </w:rPr>
            </w:pPr>
            <w:r>
              <w:rPr>
                <w:lang w:val="en-GB"/>
              </w:rPr>
              <w:t xml:space="preserve">      Ghana </w:t>
            </w:r>
          </w:p>
        </w:tc>
      </w:tr>
    </w:tbl>
    <w:p w:rsidR="00042BF9" w:rsidRPr="00B77C34" w:rsidRDefault="00042BF9" w:rsidP="00C94C5A">
      <w:pPr>
        <w:autoSpaceDE w:val="0"/>
        <w:autoSpaceDN w:val="0"/>
        <w:adjustRightInd w:val="0"/>
        <w:spacing w:after="0" w:line="240" w:lineRule="auto"/>
      </w:pPr>
    </w:p>
    <w:p w:rsidR="00C94C5A" w:rsidRPr="0005071E" w:rsidRDefault="00C94C5A" w:rsidP="00C94C5A">
      <w:pPr>
        <w:autoSpaceDE w:val="0"/>
        <w:autoSpaceDN w:val="0"/>
        <w:adjustRightInd w:val="0"/>
        <w:spacing w:after="0" w:line="240" w:lineRule="auto"/>
      </w:pPr>
      <w:r w:rsidRPr="0009131C">
        <w:rPr>
          <w:b/>
        </w:rPr>
        <w:t>Project</w:t>
      </w:r>
      <w:r w:rsidRPr="0005071E">
        <w:t>:</w:t>
      </w:r>
      <w:r w:rsidRPr="0005071E">
        <w:tab/>
      </w:r>
      <w:r w:rsidR="0076005D">
        <w:t>Consolidating Peace in Ghana</w:t>
      </w:r>
      <w:r w:rsidR="005A688A">
        <w:tab/>
      </w:r>
      <w:r w:rsidR="005A688A">
        <w:tab/>
      </w:r>
      <w:r w:rsidR="005A688A">
        <w:tab/>
      </w:r>
      <w:r w:rsidR="005A688A">
        <w:tab/>
      </w:r>
      <w:r w:rsidR="005A688A">
        <w:tab/>
      </w:r>
      <w:r w:rsidR="005A688A">
        <w:tab/>
      </w:r>
      <w:r w:rsidR="00836C88">
        <w:tab/>
      </w:r>
      <w:r w:rsidR="00836C88">
        <w:tab/>
      </w:r>
      <w:r w:rsidR="00836C88">
        <w:tab/>
      </w:r>
      <w:r w:rsidRPr="0009131C">
        <w:rPr>
          <w:b/>
        </w:rPr>
        <w:t>Date</w:t>
      </w:r>
      <w:r w:rsidRPr="0005071E">
        <w:t>:</w:t>
      </w:r>
      <w:r w:rsidR="000C7326">
        <w:t xml:space="preserve"> </w:t>
      </w:r>
      <w:r w:rsidR="0076005D">
        <w:rPr>
          <w:highlight w:val="yellow"/>
        </w:rPr>
        <w:t xml:space="preserve">15 October </w:t>
      </w:r>
      <w:r w:rsidR="0076005D">
        <w:t>2014</w:t>
      </w:r>
      <w:r w:rsidR="00836C88">
        <w:t xml:space="preserve"> </w:t>
      </w:r>
    </w:p>
    <w:p w:rsidR="00C94C5A" w:rsidRDefault="00C94C5A" w:rsidP="00C94C5A">
      <w:r w:rsidRPr="0009131C">
        <w:rPr>
          <w:b/>
        </w:rPr>
        <w:t>Implementing Agency</w:t>
      </w:r>
      <w:r>
        <w:rPr>
          <w:b/>
        </w:rPr>
        <w:t>:</w:t>
      </w:r>
      <w:r w:rsidR="00836C88">
        <w:rPr>
          <w:b/>
        </w:rPr>
        <w:t xml:space="preserve"> </w:t>
      </w:r>
      <w:r w:rsidR="0076005D">
        <w:t>National Peace Council</w:t>
      </w:r>
      <w:r>
        <w:tab/>
      </w:r>
      <w:r>
        <w:tab/>
      </w:r>
      <w:r>
        <w:tab/>
      </w:r>
      <w:r>
        <w:tab/>
      </w:r>
      <w:r>
        <w:tab/>
      </w:r>
      <w:r w:rsidR="005A688A">
        <w:tab/>
      </w:r>
      <w:r w:rsidR="005A688A">
        <w:tab/>
      </w:r>
      <w:r w:rsidR="005A688A">
        <w:tab/>
      </w:r>
      <w:r w:rsidRPr="0009131C">
        <w:rPr>
          <w:b/>
        </w:rPr>
        <w:t>Reporting Period</w:t>
      </w:r>
      <w:r>
        <w:t xml:space="preserve">: </w:t>
      </w:r>
      <w:r w:rsidR="0076005D">
        <w:rPr>
          <w:highlight w:val="yellow"/>
        </w:rPr>
        <w:t xml:space="preserve">July 2014 – </w:t>
      </w:r>
      <w:r w:rsidR="0076005D">
        <w:t>September 2014</w:t>
      </w:r>
    </w:p>
    <w:p w:rsidR="00A41ABF" w:rsidRPr="00A41ABF" w:rsidRDefault="00A41ABF" w:rsidP="00C94C5A">
      <w:pPr>
        <w:rPr>
          <w:rFonts w:ascii="Arial" w:hAnsi="Arial" w:cs="Arial"/>
          <w:b/>
        </w:rPr>
      </w:pPr>
      <w:r w:rsidRPr="00A41ABF">
        <w:rPr>
          <w:rFonts w:ascii="Arial" w:hAnsi="Arial" w:cs="Arial"/>
          <w:b/>
        </w:rPr>
        <w:t xml:space="preserve">I. </w:t>
      </w:r>
      <w:r>
        <w:rPr>
          <w:rFonts w:ascii="Arial" w:hAnsi="Arial" w:cs="Arial"/>
          <w:b/>
        </w:rPr>
        <w:t xml:space="preserve">Output </w:t>
      </w:r>
      <w:r w:rsidRPr="00A41ABF">
        <w:rPr>
          <w:rFonts w:ascii="Arial" w:hAnsi="Arial" w:cs="Arial"/>
          <w:b/>
        </w:rPr>
        <w:t>Assessment</w:t>
      </w:r>
    </w:p>
    <w:tbl>
      <w:tblPr>
        <w:tblStyle w:val="TableGrid"/>
        <w:tblW w:w="16110" w:type="dxa"/>
        <w:tblInd w:w="-61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160"/>
        <w:gridCol w:w="2070"/>
        <w:gridCol w:w="2895"/>
        <w:gridCol w:w="3225"/>
        <w:gridCol w:w="1530"/>
        <w:gridCol w:w="2170"/>
        <w:gridCol w:w="2060"/>
      </w:tblGrid>
      <w:tr w:rsidR="0074532F" w:rsidTr="00C95516">
        <w:trPr>
          <w:trHeight w:val="1276"/>
          <w:tblHeader/>
        </w:trPr>
        <w:tc>
          <w:tcPr>
            <w:tcW w:w="2160" w:type="dxa"/>
            <w:shd w:val="pct15" w:color="auto" w:fill="auto"/>
            <w:vAlign w:val="center"/>
          </w:tcPr>
          <w:p w:rsidR="0074532F" w:rsidRPr="00042BF9" w:rsidRDefault="0074532F" w:rsidP="00836C88">
            <w:pPr>
              <w:spacing w:before="40" w:after="40"/>
              <w:jc w:val="center"/>
              <w:rPr>
                <w:rFonts w:ascii="Arial" w:hAnsi="Arial" w:cs="Arial"/>
                <w:b/>
                <w:bCs/>
                <w:color w:val="000000"/>
              </w:rPr>
            </w:pPr>
            <w:r w:rsidRPr="00042BF9">
              <w:rPr>
                <w:rFonts w:ascii="Arial" w:hAnsi="Arial" w:cs="Arial"/>
                <w:b/>
                <w:bCs/>
                <w:color w:val="000000"/>
              </w:rPr>
              <w:t>Output (</w:t>
            </w:r>
            <w:r w:rsidRPr="002C1E5F">
              <w:rPr>
                <w:rFonts w:ascii="Arial" w:hAnsi="Arial" w:cs="Arial"/>
                <w:b/>
                <w:bCs/>
                <w:i/>
                <w:color w:val="000000"/>
                <w:sz w:val="18"/>
                <w:szCs w:val="18"/>
              </w:rPr>
              <w:t>extract output from AWP for reporting period</w:t>
            </w:r>
            <w:r w:rsidRPr="002C1E5F">
              <w:rPr>
                <w:rFonts w:ascii="Arial" w:hAnsi="Arial" w:cs="Arial"/>
                <w:b/>
                <w:bCs/>
                <w:color w:val="000000"/>
                <w:sz w:val="20"/>
                <w:szCs w:val="20"/>
              </w:rPr>
              <w:t>)</w:t>
            </w:r>
          </w:p>
        </w:tc>
        <w:tc>
          <w:tcPr>
            <w:tcW w:w="2070" w:type="dxa"/>
            <w:shd w:val="pct15" w:color="auto" w:fill="auto"/>
            <w:vAlign w:val="center"/>
          </w:tcPr>
          <w:p w:rsidR="0074532F" w:rsidRPr="00042BF9" w:rsidRDefault="0074532F" w:rsidP="00042BF9">
            <w:pPr>
              <w:spacing w:before="40" w:after="40"/>
              <w:jc w:val="center"/>
              <w:rPr>
                <w:rFonts w:ascii="Arial" w:hAnsi="Arial" w:cs="Arial"/>
                <w:b/>
                <w:bCs/>
                <w:color w:val="000000"/>
              </w:rPr>
            </w:pPr>
            <w:r w:rsidRPr="00042BF9">
              <w:rPr>
                <w:rFonts w:ascii="Arial" w:hAnsi="Arial" w:cs="Arial"/>
                <w:b/>
                <w:bCs/>
                <w:color w:val="000000"/>
              </w:rPr>
              <w:t xml:space="preserve">Indicators </w:t>
            </w:r>
            <w:r w:rsidRPr="002C1E5F">
              <w:rPr>
                <w:rFonts w:ascii="Arial" w:hAnsi="Arial" w:cs="Arial"/>
                <w:b/>
                <w:bCs/>
                <w:color w:val="000000"/>
                <w:sz w:val="20"/>
                <w:szCs w:val="20"/>
              </w:rPr>
              <w:t>(</w:t>
            </w:r>
            <w:r w:rsidRPr="002C1E5F">
              <w:rPr>
                <w:rFonts w:ascii="Arial" w:hAnsi="Arial" w:cs="Arial"/>
                <w:b/>
                <w:bCs/>
                <w:i/>
                <w:color w:val="000000"/>
                <w:sz w:val="18"/>
                <w:szCs w:val="18"/>
              </w:rPr>
              <w:t>extract indicators for Outputs being reported on as recorded in AWP</w:t>
            </w:r>
            <w:r w:rsidRPr="002C1E5F">
              <w:rPr>
                <w:rFonts w:ascii="Arial" w:hAnsi="Arial" w:cs="Arial"/>
                <w:b/>
                <w:bCs/>
                <w:color w:val="000000"/>
                <w:sz w:val="20"/>
                <w:szCs w:val="20"/>
              </w:rPr>
              <w:t>)</w:t>
            </w:r>
          </w:p>
        </w:tc>
        <w:tc>
          <w:tcPr>
            <w:tcW w:w="2895" w:type="dxa"/>
            <w:shd w:val="pct15" w:color="auto" w:fill="auto"/>
            <w:vAlign w:val="center"/>
          </w:tcPr>
          <w:p w:rsidR="0074532F" w:rsidRPr="00042BF9" w:rsidRDefault="0074532F" w:rsidP="00836C88">
            <w:pPr>
              <w:spacing w:before="40" w:after="40"/>
              <w:jc w:val="center"/>
              <w:rPr>
                <w:rFonts w:ascii="Arial" w:hAnsi="Arial" w:cs="Arial"/>
                <w:b/>
                <w:bCs/>
                <w:color w:val="000000"/>
              </w:rPr>
            </w:pPr>
            <w:r w:rsidRPr="00042BF9">
              <w:rPr>
                <w:rFonts w:ascii="Arial" w:hAnsi="Arial" w:cs="Arial"/>
                <w:b/>
                <w:bCs/>
                <w:color w:val="000000"/>
              </w:rPr>
              <w:t>Target (s)</w:t>
            </w:r>
          </w:p>
          <w:p w:rsidR="0074532F" w:rsidRPr="002C1E5F" w:rsidRDefault="0074532F" w:rsidP="00836C88">
            <w:pPr>
              <w:spacing w:before="40" w:after="40"/>
              <w:jc w:val="center"/>
              <w:rPr>
                <w:rFonts w:ascii="Arial" w:hAnsi="Arial" w:cs="Arial"/>
                <w:b/>
                <w:bCs/>
                <w:color w:val="000000"/>
                <w:sz w:val="20"/>
                <w:szCs w:val="20"/>
              </w:rPr>
            </w:pPr>
            <w:r w:rsidRPr="002C1E5F">
              <w:rPr>
                <w:rFonts w:ascii="Arial" w:hAnsi="Arial" w:cs="Arial"/>
                <w:b/>
                <w:bCs/>
                <w:color w:val="000000"/>
                <w:sz w:val="20"/>
                <w:szCs w:val="20"/>
              </w:rPr>
              <w:t>(</w:t>
            </w:r>
            <w:r w:rsidRPr="002C1E5F">
              <w:rPr>
                <w:rFonts w:ascii="Arial" w:hAnsi="Arial" w:cs="Arial"/>
                <w:b/>
                <w:bCs/>
                <w:i/>
                <w:color w:val="000000"/>
                <w:sz w:val="18"/>
                <w:szCs w:val="18"/>
              </w:rPr>
              <w:t>extract from AWP</w:t>
            </w:r>
            <w:r w:rsidRPr="002C1E5F">
              <w:rPr>
                <w:rFonts w:ascii="Arial" w:hAnsi="Arial" w:cs="Arial"/>
                <w:b/>
                <w:bCs/>
                <w:color w:val="000000"/>
                <w:sz w:val="20"/>
                <w:szCs w:val="20"/>
              </w:rPr>
              <w:t>)</w:t>
            </w:r>
          </w:p>
        </w:tc>
        <w:tc>
          <w:tcPr>
            <w:tcW w:w="3225" w:type="dxa"/>
            <w:shd w:val="pct15" w:color="auto" w:fill="auto"/>
            <w:vAlign w:val="center"/>
          </w:tcPr>
          <w:p w:rsidR="0074532F" w:rsidRPr="00042BF9" w:rsidRDefault="0074532F" w:rsidP="00836C88">
            <w:pPr>
              <w:spacing w:before="40" w:after="40"/>
              <w:jc w:val="center"/>
              <w:rPr>
                <w:rFonts w:ascii="Arial" w:hAnsi="Arial" w:cs="Arial"/>
                <w:b/>
                <w:bCs/>
                <w:color w:val="000000"/>
              </w:rPr>
            </w:pPr>
            <w:r w:rsidRPr="00042BF9">
              <w:rPr>
                <w:rFonts w:ascii="Arial" w:hAnsi="Arial" w:cs="Arial"/>
                <w:b/>
                <w:bCs/>
                <w:color w:val="000000"/>
              </w:rPr>
              <w:t xml:space="preserve">Results Achieved </w:t>
            </w:r>
            <w:r w:rsidRPr="002C1E5F">
              <w:rPr>
                <w:rFonts w:ascii="Arial" w:hAnsi="Arial" w:cs="Arial"/>
                <w:b/>
                <w:bCs/>
                <w:color w:val="000000"/>
                <w:sz w:val="20"/>
                <w:szCs w:val="20"/>
              </w:rPr>
              <w:t>(</w:t>
            </w:r>
            <w:r w:rsidRPr="002C1E5F">
              <w:rPr>
                <w:rFonts w:ascii="Arial" w:hAnsi="Arial" w:cs="Arial"/>
                <w:b/>
                <w:bCs/>
                <w:i/>
                <w:color w:val="000000"/>
                <w:sz w:val="18"/>
                <w:szCs w:val="18"/>
              </w:rPr>
              <w:t>per output for the reporting period. This should include a description of targets achieved in the quarter</w:t>
            </w:r>
            <w:r w:rsidRPr="002C1E5F">
              <w:rPr>
                <w:rFonts w:ascii="Arial" w:hAnsi="Arial" w:cs="Arial"/>
                <w:b/>
                <w:bCs/>
                <w:color w:val="000000"/>
                <w:sz w:val="20"/>
                <w:szCs w:val="20"/>
              </w:rPr>
              <w:t>)</w:t>
            </w:r>
          </w:p>
        </w:tc>
        <w:tc>
          <w:tcPr>
            <w:tcW w:w="1530" w:type="dxa"/>
            <w:shd w:val="pct15" w:color="auto" w:fill="auto"/>
            <w:tcMar>
              <w:left w:w="14" w:type="dxa"/>
              <w:right w:w="14" w:type="dxa"/>
            </w:tcMar>
            <w:vAlign w:val="center"/>
          </w:tcPr>
          <w:p w:rsidR="0074532F" w:rsidRPr="00042BF9" w:rsidRDefault="0074532F" w:rsidP="00836C88">
            <w:pPr>
              <w:spacing w:before="40" w:after="40"/>
              <w:jc w:val="center"/>
              <w:rPr>
                <w:rFonts w:ascii="Arial" w:hAnsi="Arial" w:cs="Arial"/>
                <w:b/>
                <w:bCs/>
                <w:color w:val="000000"/>
              </w:rPr>
            </w:pPr>
            <w:r w:rsidRPr="00042BF9">
              <w:rPr>
                <w:rFonts w:ascii="Arial" w:hAnsi="Arial" w:cs="Arial"/>
                <w:b/>
                <w:bCs/>
              </w:rPr>
              <w:t xml:space="preserve">Delivery Rate </w:t>
            </w:r>
            <w:r w:rsidRPr="002C1E5F">
              <w:rPr>
                <w:rFonts w:ascii="Arial" w:hAnsi="Arial" w:cs="Arial"/>
                <w:b/>
                <w:bCs/>
                <w:sz w:val="20"/>
                <w:szCs w:val="20"/>
              </w:rPr>
              <w:t>(</w:t>
            </w:r>
            <w:r w:rsidRPr="002C1E5F">
              <w:rPr>
                <w:rFonts w:ascii="Arial" w:hAnsi="Arial" w:cs="Arial"/>
                <w:b/>
                <w:bCs/>
                <w:i/>
                <w:sz w:val="18"/>
                <w:szCs w:val="18"/>
              </w:rPr>
              <w:t>actual expenditures/Disbursement received</w:t>
            </w:r>
            <w:r w:rsidRPr="00042BF9">
              <w:rPr>
                <w:rFonts w:ascii="Arial" w:hAnsi="Arial" w:cs="Arial"/>
                <w:b/>
                <w:bCs/>
                <w:i/>
              </w:rPr>
              <w:t>)*100</w:t>
            </w:r>
          </w:p>
        </w:tc>
        <w:tc>
          <w:tcPr>
            <w:tcW w:w="2170" w:type="dxa"/>
            <w:shd w:val="pct15" w:color="auto" w:fill="auto"/>
            <w:vAlign w:val="center"/>
          </w:tcPr>
          <w:p w:rsidR="0074532F" w:rsidRPr="00042BF9" w:rsidRDefault="0074532F" w:rsidP="00836C88">
            <w:pPr>
              <w:spacing w:before="40" w:after="40"/>
              <w:jc w:val="center"/>
              <w:rPr>
                <w:rFonts w:ascii="Arial" w:hAnsi="Arial" w:cs="Arial"/>
                <w:b/>
                <w:bCs/>
                <w:color w:val="000000"/>
              </w:rPr>
            </w:pPr>
            <w:r w:rsidRPr="00042BF9">
              <w:rPr>
                <w:rFonts w:ascii="Arial" w:hAnsi="Arial" w:cs="Arial"/>
                <w:b/>
                <w:bCs/>
                <w:color w:val="000000"/>
              </w:rPr>
              <w:t xml:space="preserve">Challenges </w:t>
            </w:r>
            <w:r w:rsidRPr="002C1E5F">
              <w:rPr>
                <w:rFonts w:ascii="Arial" w:hAnsi="Arial" w:cs="Arial"/>
                <w:b/>
                <w:bCs/>
                <w:color w:val="000000"/>
                <w:sz w:val="20"/>
                <w:szCs w:val="20"/>
              </w:rPr>
              <w:t>(</w:t>
            </w:r>
            <w:r w:rsidRPr="002C1E5F">
              <w:rPr>
                <w:rFonts w:ascii="Arial" w:hAnsi="Arial" w:cs="Arial"/>
                <w:b/>
                <w:bCs/>
                <w:color w:val="000000"/>
                <w:sz w:val="18"/>
                <w:szCs w:val="18"/>
              </w:rPr>
              <w:t>state difficulties encountered in implementing activities</w:t>
            </w:r>
            <w:r w:rsidRPr="002C1E5F">
              <w:rPr>
                <w:rFonts w:ascii="Arial" w:hAnsi="Arial" w:cs="Arial"/>
                <w:b/>
                <w:bCs/>
                <w:color w:val="000000"/>
                <w:sz w:val="20"/>
                <w:szCs w:val="20"/>
              </w:rPr>
              <w:t>)</w:t>
            </w:r>
          </w:p>
        </w:tc>
        <w:tc>
          <w:tcPr>
            <w:tcW w:w="2060" w:type="dxa"/>
            <w:shd w:val="pct15" w:color="auto" w:fill="auto"/>
            <w:vAlign w:val="center"/>
          </w:tcPr>
          <w:p w:rsidR="0074532F" w:rsidRPr="00042BF9" w:rsidRDefault="0074532F" w:rsidP="00836C88">
            <w:pPr>
              <w:spacing w:before="40" w:after="40"/>
              <w:jc w:val="center"/>
              <w:rPr>
                <w:rFonts w:ascii="Arial" w:hAnsi="Arial" w:cs="Arial"/>
                <w:b/>
                <w:bCs/>
                <w:color w:val="000000"/>
              </w:rPr>
            </w:pPr>
            <w:r w:rsidRPr="00042BF9">
              <w:rPr>
                <w:rFonts w:ascii="Arial" w:hAnsi="Arial" w:cs="Arial"/>
                <w:b/>
                <w:bCs/>
                <w:color w:val="000000"/>
              </w:rPr>
              <w:t>Risks &amp; Issues (</w:t>
            </w:r>
            <w:r w:rsidRPr="002C1E5F">
              <w:rPr>
                <w:rFonts w:ascii="Arial" w:hAnsi="Arial" w:cs="Arial"/>
                <w:b/>
                <w:bCs/>
                <w:i/>
                <w:color w:val="000000"/>
                <w:sz w:val="18"/>
                <w:szCs w:val="18"/>
              </w:rPr>
              <w:t>check risk and issues log and report on risk encountered during the quarter</w:t>
            </w:r>
            <w:r w:rsidRPr="002C1E5F">
              <w:rPr>
                <w:rFonts w:ascii="Arial" w:hAnsi="Arial" w:cs="Arial"/>
                <w:b/>
                <w:bCs/>
                <w:color w:val="000000"/>
                <w:sz w:val="20"/>
                <w:szCs w:val="20"/>
              </w:rPr>
              <w:t>)</w:t>
            </w:r>
          </w:p>
        </w:tc>
      </w:tr>
      <w:tr w:rsidR="00B77C34" w:rsidTr="00C95516">
        <w:trPr>
          <w:trHeight w:val="2392"/>
        </w:trPr>
        <w:tc>
          <w:tcPr>
            <w:tcW w:w="2160" w:type="dxa"/>
          </w:tcPr>
          <w:p w:rsidR="00B77C34" w:rsidRPr="001A0B25" w:rsidRDefault="00B77C34" w:rsidP="003A0823">
            <w:pPr>
              <w:spacing w:before="40" w:after="40"/>
              <w:rPr>
                <w:rFonts w:eastAsia="Times New Roman"/>
                <w:b/>
                <w:color w:val="000000"/>
                <w:u w:val="single"/>
              </w:rPr>
            </w:pPr>
            <w:r w:rsidRPr="001A0B25">
              <w:rPr>
                <w:rFonts w:eastAsia="Times New Roman"/>
                <w:b/>
                <w:color w:val="000000"/>
                <w:u w:val="single"/>
              </w:rPr>
              <w:t>Output 1.</w:t>
            </w:r>
          </w:p>
          <w:p w:rsidR="00B77C34" w:rsidRDefault="00C95516" w:rsidP="00355881">
            <w:pPr>
              <w:spacing w:before="40" w:after="40"/>
            </w:pPr>
            <w:r w:rsidRPr="00C95516">
              <w:t>Conflict management and early warning systems, including assessment and coordination mechanisms, are operational &amp; institutionalized at national and district levels</w:t>
            </w:r>
          </w:p>
        </w:tc>
        <w:tc>
          <w:tcPr>
            <w:tcW w:w="2070" w:type="dxa"/>
          </w:tcPr>
          <w:p w:rsidR="00B77C34" w:rsidRDefault="00B10E28" w:rsidP="00D6467E">
            <w:pPr>
              <w:spacing w:before="40" w:after="40"/>
            </w:pPr>
            <w:r w:rsidRPr="00B10E28">
              <w:t xml:space="preserve">  % of actions in each Strategic Objective (SO) of the National Peace Council’s mid-term strategy that are achieved (Source: NPC reports)</w:t>
            </w:r>
          </w:p>
          <w:p w:rsidR="00D6467E" w:rsidRDefault="00D6467E" w:rsidP="00836C88">
            <w:pPr>
              <w:pStyle w:val="ListParagraph"/>
              <w:spacing w:before="40" w:after="40"/>
              <w:ind w:left="162"/>
            </w:pPr>
          </w:p>
          <w:p w:rsidR="0098208B" w:rsidRDefault="0098208B" w:rsidP="00D6467E">
            <w:pPr>
              <w:spacing w:before="40" w:after="40"/>
            </w:pPr>
          </w:p>
          <w:p w:rsidR="0098208B" w:rsidRDefault="0098208B" w:rsidP="00D6467E">
            <w:pPr>
              <w:spacing w:before="40" w:after="40"/>
            </w:pPr>
          </w:p>
          <w:p w:rsidR="0098208B" w:rsidRDefault="0098208B" w:rsidP="00D6467E">
            <w:pPr>
              <w:spacing w:before="40" w:after="40"/>
            </w:pPr>
          </w:p>
          <w:p w:rsidR="0098208B" w:rsidRDefault="0098208B" w:rsidP="00D6467E">
            <w:pPr>
              <w:spacing w:before="40" w:after="40"/>
            </w:pPr>
          </w:p>
          <w:p w:rsidR="0098208B" w:rsidRDefault="0098208B" w:rsidP="00D6467E">
            <w:pPr>
              <w:spacing w:before="40" w:after="40"/>
            </w:pPr>
          </w:p>
          <w:p w:rsidR="0098208B" w:rsidRDefault="0098208B" w:rsidP="00D6467E">
            <w:pPr>
              <w:spacing w:before="40" w:after="40"/>
            </w:pPr>
          </w:p>
          <w:p w:rsidR="0098208B" w:rsidRDefault="0098208B" w:rsidP="00D6467E">
            <w:pPr>
              <w:spacing w:before="40" w:after="40"/>
            </w:pPr>
          </w:p>
          <w:p w:rsidR="0098208B" w:rsidRDefault="0098208B" w:rsidP="00D6467E">
            <w:pPr>
              <w:spacing w:before="40" w:after="40"/>
            </w:pPr>
          </w:p>
          <w:p w:rsidR="00D6467E" w:rsidRDefault="00D6467E" w:rsidP="00D6467E">
            <w:pPr>
              <w:spacing w:before="40" w:after="40"/>
            </w:pPr>
            <w:r w:rsidRPr="00D6467E">
              <w:lastRenderedPageBreak/>
              <w:t>Number of conflicts that the NPC, RPCs and DPCs intervene directly on (Source: NPC reports)</w:t>
            </w:r>
          </w:p>
          <w:p w:rsidR="00D6467E" w:rsidRDefault="00D6467E" w:rsidP="00D6467E">
            <w:pPr>
              <w:spacing w:before="40" w:after="40"/>
            </w:pPr>
          </w:p>
          <w:p w:rsidR="00D6467E" w:rsidRDefault="00D6467E" w:rsidP="00D6467E">
            <w:pPr>
              <w:spacing w:before="40" w:after="40"/>
            </w:pPr>
          </w:p>
          <w:p w:rsidR="00D6467E" w:rsidRDefault="00D6467E" w:rsidP="00D6467E">
            <w:pPr>
              <w:spacing w:before="40" w:after="40"/>
            </w:pPr>
          </w:p>
        </w:tc>
        <w:tc>
          <w:tcPr>
            <w:tcW w:w="2895" w:type="dxa"/>
          </w:tcPr>
          <w:p w:rsidR="00B77C34" w:rsidRDefault="002D276D" w:rsidP="00954683">
            <w:r w:rsidRPr="002D276D">
              <w:lastRenderedPageBreak/>
              <w:t>20% of actions in each SO of the NPC strategic plan are achieved by end-2014</w:t>
            </w:r>
          </w:p>
          <w:p w:rsidR="00B77C34" w:rsidRDefault="00B77C34" w:rsidP="00954683"/>
          <w:p w:rsidR="00B77C34" w:rsidRDefault="00B77C34" w:rsidP="00954683"/>
          <w:p w:rsidR="002D276D" w:rsidRDefault="002D276D" w:rsidP="00954683"/>
          <w:p w:rsidR="002D276D" w:rsidRDefault="002D276D" w:rsidP="00954683"/>
          <w:p w:rsidR="002D276D" w:rsidRDefault="002D276D" w:rsidP="00954683"/>
          <w:p w:rsidR="002D276D" w:rsidRDefault="002D276D" w:rsidP="00954683"/>
          <w:p w:rsidR="002D276D" w:rsidRDefault="002D276D" w:rsidP="00954683"/>
          <w:p w:rsidR="0098208B" w:rsidRDefault="0098208B" w:rsidP="00954683"/>
          <w:p w:rsidR="0098208B" w:rsidRDefault="0098208B" w:rsidP="00954683"/>
          <w:p w:rsidR="0098208B" w:rsidRDefault="0098208B" w:rsidP="00954683"/>
          <w:p w:rsidR="0098208B" w:rsidRDefault="0098208B" w:rsidP="00954683"/>
          <w:p w:rsidR="0098208B" w:rsidRDefault="0098208B" w:rsidP="00954683"/>
          <w:p w:rsidR="0098208B" w:rsidRDefault="0098208B" w:rsidP="00954683"/>
          <w:p w:rsidR="0098208B" w:rsidRDefault="0098208B" w:rsidP="00954683"/>
          <w:p w:rsidR="0098208B" w:rsidRDefault="0098208B" w:rsidP="00954683"/>
          <w:p w:rsidR="002D276D" w:rsidRDefault="002D276D" w:rsidP="00954683">
            <w:r w:rsidRPr="002D276D">
              <w:lastRenderedPageBreak/>
              <w:t>The national peace architecture intervenes directly in at least 6  conflicts in each of the years 2013 and 2014</w:t>
            </w:r>
          </w:p>
          <w:p w:rsidR="00B77C34" w:rsidRDefault="00B77C34" w:rsidP="00954683"/>
        </w:tc>
        <w:tc>
          <w:tcPr>
            <w:tcW w:w="3225" w:type="dxa"/>
          </w:tcPr>
          <w:p w:rsidR="00B77C34" w:rsidRDefault="0098208B" w:rsidP="003A0823">
            <w:pPr>
              <w:spacing w:before="40" w:after="40"/>
            </w:pPr>
            <w:r>
              <w:lastRenderedPageBreak/>
              <w:t>A</w:t>
            </w:r>
            <w:r w:rsidRPr="0098208B">
              <w:t xml:space="preserve"> Stocktaking Exercise organized to enable the NPC to learn from its mediation experiences and identify critical next steps that will strengthen its capacity and that of the peace architecture as a whole.</w:t>
            </w:r>
          </w:p>
          <w:p w:rsidR="0098208B" w:rsidRDefault="0098208B" w:rsidP="003A0823">
            <w:pPr>
              <w:spacing w:before="40" w:after="40"/>
            </w:pPr>
          </w:p>
          <w:p w:rsidR="0098208B" w:rsidRDefault="0098208B" w:rsidP="003A0823">
            <w:pPr>
              <w:spacing w:before="40" w:after="40"/>
            </w:pPr>
            <w:r w:rsidRPr="0098208B">
              <w:t>Nine Regional Peace Councils inaugurated (that for Greater Accra Region yet to inaugurated) to help the NPC realize the use of local expertise and knowledge in the resolution of conflicts and pe</w:t>
            </w:r>
            <w:r w:rsidR="00805037">
              <w:t>ace building at the local level</w:t>
            </w:r>
          </w:p>
          <w:p w:rsidR="00805037" w:rsidRDefault="00805037" w:rsidP="003A0823">
            <w:pPr>
              <w:spacing w:before="40" w:after="40"/>
            </w:pPr>
          </w:p>
          <w:p w:rsidR="00805037" w:rsidRDefault="00805037" w:rsidP="003A0823">
            <w:pPr>
              <w:spacing w:before="40" w:after="40"/>
            </w:pPr>
          </w:p>
          <w:p w:rsidR="00C9306C" w:rsidRDefault="00C9306C" w:rsidP="003A0823">
            <w:pPr>
              <w:spacing w:before="40" w:after="40"/>
            </w:pPr>
          </w:p>
          <w:p w:rsidR="00805037" w:rsidRDefault="00192FA2" w:rsidP="003A0823">
            <w:pPr>
              <w:spacing w:before="40" w:after="40"/>
            </w:pPr>
            <w:r w:rsidRPr="00192FA2">
              <w:t xml:space="preserve">As part of efforts at resolving the </w:t>
            </w:r>
            <w:proofErr w:type="spellStart"/>
            <w:r w:rsidRPr="00192FA2">
              <w:t>Bawku</w:t>
            </w:r>
            <w:proofErr w:type="spellEnd"/>
            <w:r w:rsidRPr="00192FA2">
              <w:t xml:space="preserve"> conflict, the NPC </w:t>
            </w:r>
            <w:r w:rsidR="008770DD" w:rsidRPr="00192FA2">
              <w:t>organized</w:t>
            </w:r>
            <w:r w:rsidRPr="00192FA2">
              <w:t xml:space="preserve"> a conflict sensitive reporting workshop for media houses and journalists in the three northern regions on conflict sensitive reporting, to enable the media play a positive role in resolving the </w:t>
            </w:r>
            <w:proofErr w:type="spellStart"/>
            <w:r w:rsidRPr="00192FA2">
              <w:t>Bawku</w:t>
            </w:r>
            <w:proofErr w:type="spellEnd"/>
            <w:r w:rsidRPr="00192FA2">
              <w:t xml:space="preserve"> conflict and other local conflicts in the three regions.</w:t>
            </w:r>
          </w:p>
        </w:tc>
        <w:tc>
          <w:tcPr>
            <w:tcW w:w="1530" w:type="dxa"/>
          </w:tcPr>
          <w:p w:rsidR="00B77C34" w:rsidRDefault="00B77C34" w:rsidP="003A0823">
            <w:pPr>
              <w:spacing w:before="40" w:after="40"/>
            </w:pPr>
          </w:p>
        </w:tc>
        <w:tc>
          <w:tcPr>
            <w:tcW w:w="2170" w:type="dxa"/>
            <w:tcBorders>
              <w:bottom w:val="single" w:sz="4" w:space="0" w:color="auto"/>
            </w:tcBorders>
          </w:tcPr>
          <w:p w:rsidR="00B77C34" w:rsidRPr="00F009BA" w:rsidRDefault="00B624CE" w:rsidP="003A0823">
            <w:pPr>
              <w:spacing w:before="40" w:after="40"/>
              <w:rPr>
                <w:rFonts w:eastAsia="Times New Roman"/>
                <w:color w:val="000000"/>
              </w:rPr>
            </w:pPr>
            <w:r>
              <w:rPr>
                <w:rFonts w:eastAsia="Times New Roman"/>
                <w:color w:val="000000"/>
              </w:rPr>
              <w:t>Lack of staff on the ground, especially in conflict prone areas</w:t>
            </w:r>
            <w:r w:rsidR="00B63640">
              <w:rPr>
                <w:rFonts w:eastAsia="Times New Roman"/>
                <w:color w:val="000000"/>
              </w:rPr>
              <w:t>,</w:t>
            </w:r>
            <w:r>
              <w:rPr>
                <w:rFonts w:eastAsia="Times New Roman"/>
                <w:color w:val="000000"/>
              </w:rPr>
              <w:t xml:space="preserve"> is a threat to conflict management and early warning </w:t>
            </w:r>
            <w:r w:rsidR="00B63640">
              <w:rPr>
                <w:rFonts w:eastAsia="Times New Roman"/>
                <w:color w:val="000000"/>
              </w:rPr>
              <w:t>mandate of the NPC</w:t>
            </w:r>
          </w:p>
        </w:tc>
        <w:tc>
          <w:tcPr>
            <w:tcW w:w="2060" w:type="dxa"/>
            <w:tcBorders>
              <w:bottom w:val="single" w:sz="4" w:space="0" w:color="auto"/>
            </w:tcBorders>
          </w:tcPr>
          <w:p w:rsidR="00B77C34" w:rsidRDefault="00B77C34" w:rsidP="000F0C74">
            <w:pPr>
              <w:spacing w:before="40" w:after="40"/>
              <w:jc w:val="center"/>
            </w:pPr>
          </w:p>
        </w:tc>
      </w:tr>
      <w:tr w:rsidR="00B77C34" w:rsidTr="00C95516">
        <w:trPr>
          <w:trHeight w:val="2417"/>
        </w:trPr>
        <w:tc>
          <w:tcPr>
            <w:tcW w:w="2160" w:type="dxa"/>
            <w:tcBorders>
              <w:bottom w:val="single" w:sz="8" w:space="0" w:color="000000" w:themeColor="text1"/>
            </w:tcBorders>
          </w:tcPr>
          <w:p w:rsidR="00B77C34" w:rsidRPr="001A0B25" w:rsidRDefault="00B77C34" w:rsidP="003A0823">
            <w:pPr>
              <w:spacing w:before="40" w:after="40"/>
              <w:rPr>
                <w:b/>
                <w:color w:val="000000"/>
              </w:rPr>
            </w:pPr>
            <w:r w:rsidRPr="001A0B25">
              <w:rPr>
                <w:b/>
                <w:color w:val="000000"/>
                <w:u w:val="single"/>
              </w:rPr>
              <w:lastRenderedPageBreak/>
              <w:t>Output 2</w:t>
            </w:r>
            <w:r w:rsidRPr="001A0B25">
              <w:rPr>
                <w:b/>
                <w:color w:val="000000"/>
              </w:rPr>
              <w:t>.</w:t>
            </w:r>
          </w:p>
          <w:p w:rsidR="00B77C34" w:rsidRDefault="00C95516" w:rsidP="003A0823">
            <w:pPr>
              <w:spacing w:before="40" w:after="40"/>
            </w:pPr>
            <w:r w:rsidRPr="00C95516">
              <w:t>Critical issues such as electoral violence, violence against women, the role of youth and the use of small arms and light weapons addressed through studies, conflict prevention, management and resolution interventions.</w:t>
            </w:r>
          </w:p>
        </w:tc>
        <w:tc>
          <w:tcPr>
            <w:tcW w:w="2070" w:type="dxa"/>
            <w:tcBorders>
              <w:bottom w:val="single" w:sz="8" w:space="0" w:color="000000" w:themeColor="text1"/>
            </w:tcBorders>
          </w:tcPr>
          <w:p w:rsidR="00B77C34" w:rsidRDefault="00C95516" w:rsidP="00836C88">
            <w:pPr>
              <w:pStyle w:val="ListParagraph"/>
              <w:spacing w:before="40" w:after="40"/>
              <w:ind w:left="162"/>
            </w:pPr>
            <w:r w:rsidRPr="00D6467E">
              <w:t>Number of  conflict analyses informing peace</w:t>
            </w:r>
            <w:r w:rsidR="00C75243">
              <w:t xml:space="preserve"> </w:t>
            </w:r>
            <w:r w:rsidRPr="00D6467E">
              <w:t>building interventions (Source: NPC reports)</w:t>
            </w:r>
          </w:p>
          <w:p w:rsidR="00C95516" w:rsidRDefault="00C95516" w:rsidP="00836C88">
            <w:pPr>
              <w:pStyle w:val="ListParagraph"/>
              <w:spacing w:before="40" w:after="40"/>
              <w:ind w:left="162"/>
            </w:pPr>
          </w:p>
          <w:p w:rsidR="00C95516" w:rsidRPr="001E2C65" w:rsidRDefault="00C95516" w:rsidP="00836C88">
            <w:pPr>
              <w:pStyle w:val="ListParagraph"/>
              <w:spacing w:before="40" w:after="40"/>
              <w:ind w:left="162"/>
              <w:rPr>
                <w:color w:val="000000"/>
              </w:rPr>
            </w:pPr>
          </w:p>
        </w:tc>
        <w:tc>
          <w:tcPr>
            <w:tcW w:w="2895" w:type="dxa"/>
            <w:tcBorders>
              <w:bottom w:val="single" w:sz="8" w:space="0" w:color="000000" w:themeColor="text1"/>
            </w:tcBorders>
          </w:tcPr>
          <w:p w:rsidR="00B77C34" w:rsidRDefault="00C75243" w:rsidP="00954683">
            <w:r w:rsidRPr="00C75243">
              <w:t>Six studies on local conflicts and the role of civil society, youth and women in conflict prevention and resolution produced by end-2014</w:t>
            </w:r>
          </w:p>
        </w:tc>
        <w:tc>
          <w:tcPr>
            <w:tcW w:w="3225" w:type="dxa"/>
            <w:tcBorders>
              <w:bottom w:val="single" w:sz="8" w:space="0" w:color="000000" w:themeColor="text1"/>
            </w:tcBorders>
          </w:tcPr>
          <w:p w:rsidR="00192FA2" w:rsidRPr="00192FA2" w:rsidRDefault="00192FA2" w:rsidP="00192FA2">
            <w:pPr>
              <w:spacing w:before="40" w:after="40"/>
              <w:rPr>
                <w:color w:val="000000"/>
              </w:rPr>
            </w:pPr>
            <w:r w:rsidRPr="00192FA2">
              <w:rPr>
                <w:color w:val="000000"/>
              </w:rPr>
              <w:t>The NPC contracted an expert to convert the conflict map into an online navigable tool.</w:t>
            </w:r>
          </w:p>
          <w:p w:rsidR="00192FA2" w:rsidRPr="00192FA2" w:rsidRDefault="00192FA2" w:rsidP="00192FA2">
            <w:pPr>
              <w:spacing w:before="40" w:after="40"/>
              <w:rPr>
                <w:color w:val="000000"/>
              </w:rPr>
            </w:pPr>
          </w:p>
          <w:p w:rsidR="00B77C34" w:rsidRDefault="00B77C34" w:rsidP="00355881">
            <w:pPr>
              <w:spacing w:before="40" w:after="40"/>
              <w:rPr>
                <w:color w:val="000000"/>
              </w:rPr>
            </w:pPr>
          </w:p>
          <w:p w:rsidR="00192FA2" w:rsidRPr="001A0B25" w:rsidRDefault="00192FA2" w:rsidP="00355881">
            <w:pPr>
              <w:spacing w:before="40" w:after="40"/>
              <w:rPr>
                <w:color w:val="000000"/>
              </w:rPr>
            </w:pPr>
            <w:r w:rsidRPr="00192FA2">
              <w:rPr>
                <w:color w:val="000000"/>
              </w:rPr>
              <w:t xml:space="preserve">Organized a sensitization workshop on the GHANAP 1325 </w:t>
            </w:r>
            <w:r w:rsidR="008770DD" w:rsidRPr="00192FA2">
              <w:rPr>
                <w:color w:val="000000"/>
              </w:rPr>
              <w:t>targeted</w:t>
            </w:r>
            <w:r w:rsidRPr="00192FA2">
              <w:rPr>
                <w:color w:val="000000"/>
              </w:rPr>
              <w:t xml:space="preserve"> at increasing women’s participation and involvement in peace building, conflict resolution and management</w:t>
            </w:r>
          </w:p>
        </w:tc>
        <w:tc>
          <w:tcPr>
            <w:tcW w:w="1530" w:type="dxa"/>
            <w:tcBorders>
              <w:top w:val="single" w:sz="4" w:space="0" w:color="auto"/>
              <w:bottom w:val="single" w:sz="8" w:space="0" w:color="000000" w:themeColor="text1"/>
            </w:tcBorders>
          </w:tcPr>
          <w:p w:rsidR="00B77C34" w:rsidRDefault="00B77C34" w:rsidP="003A0823">
            <w:pPr>
              <w:spacing w:before="40" w:after="40"/>
            </w:pPr>
          </w:p>
        </w:tc>
        <w:tc>
          <w:tcPr>
            <w:tcW w:w="2170" w:type="dxa"/>
            <w:tcBorders>
              <w:top w:val="single" w:sz="4" w:space="0" w:color="auto"/>
              <w:bottom w:val="single" w:sz="8" w:space="0" w:color="000000" w:themeColor="text1"/>
            </w:tcBorders>
          </w:tcPr>
          <w:p w:rsidR="00B77C34" w:rsidRDefault="004B4843" w:rsidP="003A0823">
            <w:pPr>
              <w:spacing w:before="40" w:after="40"/>
            </w:pPr>
            <w:r>
              <w:t xml:space="preserve">Lack of funds have </w:t>
            </w:r>
            <w:r w:rsidR="00C800FD">
              <w:t>limited the number of analysis the NPC have been able to carry out</w:t>
            </w:r>
          </w:p>
        </w:tc>
        <w:tc>
          <w:tcPr>
            <w:tcW w:w="2060" w:type="dxa"/>
            <w:tcBorders>
              <w:top w:val="single" w:sz="4" w:space="0" w:color="auto"/>
              <w:bottom w:val="single" w:sz="4" w:space="0" w:color="auto"/>
            </w:tcBorders>
          </w:tcPr>
          <w:p w:rsidR="00B77C34" w:rsidRDefault="00B77C34" w:rsidP="000F0C74">
            <w:pPr>
              <w:spacing w:before="40" w:after="40"/>
              <w:jc w:val="center"/>
            </w:pPr>
          </w:p>
        </w:tc>
      </w:tr>
    </w:tbl>
    <w:p w:rsidR="00B77C34" w:rsidRDefault="00B77C34"/>
    <w:p w:rsidR="004679CB" w:rsidRDefault="004679CB"/>
    <w:p w:rsidR="004679CB" w:rsidRDefault="004679CB"/>
    <w:tbl>
      <w:tblPr>
        <w:tblStyle w:val="TableGrid"/>
        <w:tblW w:w="16020" w:type="dxa"/>
        <w:tblInd w:w="-882" w:type="dxa"/>
        <w:tblLook w:val="04A0" w:firstRow="1" w:lastRow="0" w:firstColumn="1" w:lastColumn="0" w:noHBand="0" w:noVBand="1"/>
      </w:tblPr>
      <w:tblGrid>
        <w:gridCol w:w="16020"/>
      </w:tblGrid>
      <w:tr w:rsidR="00836C88" w:rsidRPr="000F0C74" w:rsidTr="00690A67">
        <w:tc>
          <w:tcPr>
            <w:tcW w:w="16020" w:type="dxa"/>
            <w:shd w:val="pct12" w:color="auto" w:fill="auto"/>
          </w:tcPr>
          <w:p w:rsidR="00836C88" w:rsidRPr="00042BF9" w:rsidRDefault="00836C88" w:rsidP="002C1E5F">
            <w:pPr>
              <w:spacing w:before="120" w:after="120"/>
              <w:rPr>
                <w:rFonts w:ascii="Arial" w:hAnsi="Arial" w:cs="Arial"/>
              </w:rPr>
            </w:pPr>
            <w:r w:rsidRPr="00042BF9">
              <w:rPr>
                <w:rFonts w:ascii="Arial" w:hAnsi="Arial" w:cs="Arial"/>
                <w:b/>
              </w:rPr>
              <w:lastRenderedPageBreak/>
              <w:t>II.</w:t>
            </w:r>
            <w:r w:rsidRPr="00042BF9">
              <w:rPr>
                <w:rFonts w:ascii="Arial" w:hAnsi="Arial" w:cs="Arial"/>
              </w:rPr>
              <w:t xml:space="preserve"> </w:t>
            </w:r>
            <w:r w:rsidRPr="00042BF9">
              <w:rPr>
                <w:rFonts w:ascii="Arial" w:hAnsi="Arial" w:cs="Arial"/>
                <w:b/>
                <w:bCs/>
                <w:color w:val="000000"/>
              </w:rPr>
              <w:t>Capacity Development (</w:t>
            </w:r>
            <w:r w:rsidR="00954683" w:rsidRPr="00042BF9">
              <w:rPr>
                <w:rFonts w:ascii="Arial" w:hAnsi="Arial" w:cs="Arial"/>
                <w:b/>
                <w:bCs/>
                <w:color w:val="000000"/>
              </w:rPr>
              <w:t xml:space="preserve">Please explain </w:t>
            </w:r>
            <w:r w:rsidR="00A41ABF">
              <w:rPr>
                <w:rFonts w:ascii="Arial" w:hAnsi="Arial" w:cs="Arial"/>
                <w:b/>
                <w:bCs/>
                <w:i/>
                <w:color w:val="000000"/>
              </w:rPr>
              <w:t>how</w:t>
            </w:r>
            <w:r w:rsidR="00954683" w:rsidRPr="00042BF9">
              <w:rPr>
                <w:rFonts w:ascii="Arial" w:hAnsi="Arial" w:cs="Arial"/>
                <w:b/>
                <w:bCs/>
                <w:i/>
                <w:color w:val="000000"/>
              </w:rPr>
              <w:t xml:space="preserve"> project</w:t>
            </w:r>
            <w:r w:rsidRPr="00042BF9">
              <w:rPr>
                <w:rFonts w:ascii="Arial" w:hAnsi="Arial" w:cs="Arial"/>
                <w:b/>
                <w:bCs/>
                <w:i/>
                <w:color w:val="000000"/>
              </w:rPr>
              <w:t xml:space="preserve"> activities </w:t>
            </w:r>
            <w:r w:rsidR="00A41ABF">
              <w:rPr>
                <w:rFonts w:ascii="Arial" w:hAnsi="Arial" w:cs="Arial"/>
                <w:b/>
                <w:bCs/>
                <w:i/>
                <w:color w:val="000000"/>
              </w:rPr>
              <w:t xml:space="preserve">have </w:t>
            </w:r>
            <w:r w:rsidRPr="00042BF9">
              <w:rPr>
                <w:rFonts w:ascii="Arial" w:hAnsi="Arial" w:cs="Arial"/>
                <w:b/>
                <w:bCs/>
                <w:i/>
                <w:color w:val="000000"/>
              </w:rPr>
              <w:t>contribute</w:t>
            </w:r>
            <w:r w:rsidR="00A41ABF">
              <w:rPr>
                <w:rFonts w:ascii="Arial" w:hAnsi="Arial" w:cs="Arial"/>
                <w:b/>
                <w:bCs/>
                <w:i/>
                <w:color w:val="000000"/>
              </w:rPr>
              <w:t>d</w:t>
            </w:r>
            <w:r w:rsidRPr="00042BF9">
              <w:rPr>
                <w:rFonts w:ascii="Arial" w:hAnsi="Arial" w:cs="Arial"/>
                <w:b/>
                <w:bCs/>
                <w:i/>
                <w:color w:val="000000"/>
              </w:rPr>
              <w:t xml:space="preserve"> to improving </w:t>
            </w:r>
            <w:r w:rsidR="00A41ABF">
              <w:rPr>
                <w:rFonts w:ascii="Arial" w:hAnsi="Arial" w:cs="Arial"/>
                <w:b/>
                <w:bCs/>
                <w:i/>
                <w:color w:val="000000"/>
              </w:rPr>
              <w:t xml:space="preserve">institutional </w:t>
            </w:r>
            <w:r w:rsidR="005F2458">
              <w:rPr>
                <w:rFonts w:ascii="Arial" w:hAnsi="Arial" w:cs="Arial"/>
                <w:b/>
                <w:bCs/>
                <w:i/>
                <w:color w:val="000000"/>
              </w:rPr>
              <w:t xml:space="preserve">policies, </w:t>
            </w:r>
            <w:r w:rsidRPr="00042BF9">
              <w:rPr>
                <w:rFonts w:ascii="Arial" w:hAnsi="Arial" w:cs="Arial"/>
                <w:b/>
                <w:bCs/>
                <w:i/>
                <w:color w:val="000000"/>
              </w:rPr>
              <w:t>systems, strategies and structures</w:t>
            </w:r>
            <w:r w:rsidR="005F2458">
              <w:rPr>
                <w:rFonts w:ascii="Arial" w:hAnsi="Arial" w:cs="Arial"/>
                <w:b/>
                <w:bCs/>
                <w:i/>
                <w:color w:val="000000"/>
              </w:rPr>
              <w:t>. Give specific example of actions undertaken and the results achieved)</w:t>
            </w:r>
          </w:p>
        </w:tc>
      </w:tr>
      <w:tr w:rsidR="00836C88" w:rsidRPr="000F0C74" w:rsidTr="00690A67">
        <w:tc>
          <w:tcPr>
            <w:tcW w:w="16020" w:type="dxa"/>
          </w:tcPr>
          <w:p w:rsidR="00B77C34" w:rsidRDefault="00C800FD">
            <w:r>
              <w:t>During the quarter under review, the NPC was able to build the capacity</w:t>
            </w:r>
            <w:r w:rsidR="00291310">
              <w:t xml:space="preserve"> of its staff in mediation, dialogue, and negotiation. The </w:t>
            </w:r>
            <w:r w:rsidR="00291310" w:rsidRPr="00291310">
              <w:t>St</w:t>
            </w:r>
            <w:r w:rsidR="00291310">
              <w:t xml:space="preserve">ocktaking Exercise organized at Kumasi </w:t>
            </w:r>
            <w:r w:rsidR="00C123D3">
              <w:t xml:space="preserve">enable </w:t>
            </w:r>
            <w:r w:rsidR="00291310" w:rsidRPr="00291310">
              <w:t xml:space="preserve">the NPC to </w:t>
            </w:r>
            <w:r w:rsidR="00C123D3">
              <w:t>share</w:t>
            </w:r>
            <w:r w:rsidR="00291310" w:rsidRPr="00291310">
              <w:t xml:space="preserve"> its mediation</w:t>
            </w:r>
            <w:r w:rsidR="00291310">
              <w:t>, negotiation and dialogue</w:t>
            </w:r>
            <w:r w:rsidR="00291310" w:rsidRPr="00291310">
              <w:t xml:space="preserve"> experiences. </w:t>
            </w:r>
            <w:r w:rsidR="00291310">
              <w:t xml:space="preserve">The experiences and lessons learnt from the NPC’s intervention in </w:t>
            </w:r>
            <w:proofErr w:type="spellStart"/>
            <w:r w:rsidR="00291310">
              <w:t>Bawku</w:t>
            </w:r>
            <w:proofErr w:type="spellEnd"/>
            <w:r w:rsidR="00C123D3">
              <w:t xml:space="preserve"> helped to build the capacity of the NPC. </w:t>
            </w:r>
          </w:p>
          <w:p w:rsidR="00C123D3" w:rsidRDefault="00C123D3">
            <w:r>
              <w:t>T</w:t>
            </w:r>
            <w:r w:rsidR="008770DD">
              <w:t>he capacity of media persons in</w:t>
            </w:r>
            <w:r>
              <w:t xml:space="preserve"> conflict sensitive reporting has also been enhanced.</w:t>
            </w:r>
          </w:p>
          <w:p w:rsidR="00B77C34" w:rsidRPr="000F0C74" w:rsidRDefault="00B77C34"/>
        </w:tc>
      </w:tr>
    </w:tbl>
    <w:p w:rsidR="00A41ABF" w:rsidRDefault="00A41ABF"/>
    <w:tbl>
      <w:tblPr>
        <w:tblStyle w:val="TableGrid"/>
        <w:tblW w:w="16020" w:type="dxa"/>
        <w:tblInd w:w="-882" w:type="dxa"/>
        <w:tblLook w:val="04A0" w:firstRow="1" w:lastRow="0" w:firstColumn="1" w:lastColumn="0" w:noHBand="0" w:noVBand="1"/>
      </w:tblPr>
      <w:tblGrid>
        <w:gridCol w:w="16020"/>
      </w:tblGrid>
      <w:tr w:rsidR="005F2458" w:rsidRPr="000F0C74" w:rsidTr="00690A67">
        <w:tc>
          <w:tcPr>
            <w:tcW w:w="16020" w:type="dxa"/>
            <w:shd w:val="pct12" w:color="auto" w:fill="auto"/>
          </w:tcPr>
          <w:p w:rsidR="005F2458" w:rsidRPr="005F2458" w:rsidRDefault="005F2458" w:rsidP="008263C8">
            <w:pPr>
              <w:spacing w:before="120" w:line="360" w:lineRule="auto"/>
              <w:rPr>
                <w:rFonts w:ascii="Arial" w:hAnsi="Arial" w:cs="Arial"/>
              </w:rPr>
            </w:pPr>
            <w:r w:rsidRPr="005F2458">
              <w:rPr>
                <w:rFonts w:ascii="Arial" w:hAnsi="Arial" w:cs="Arial"/>
                <w:b/>
              </w:rPr>
              <w:t>III.</w:t>
            </w:r>
            <w:r w:rsidRPr="005F2458">
              <w:rPr>
                <w:rFonts w:ascii="Arial" w:hAnsi="Arial" w:cs="Arial"/>
              </w:rPr>
              <w:t xml:space="preserve"> </w:t>
            </w:r>
            <w:r w:rsidRPr="005F2458">
              <w:rPr>
                <w:rFonts w:ascii="Arial" w:hAnsi="Arial" w:cs="Arial"/>
                <w:b/>
                <w:bCs/>
                <w:color w:val="000000"/>
              </w:rPr>
              <w:t xml:space="preserve">Gender Mainstreaming ( </w:t>
            </w:r>
            <w:r w:rsidRPr="005F2458">
              <w:rPr>
                <w:rFonts w:ascii="Arial" w:hAnsi="Arial" w:cs="Arial"/>
                <w:b/>
                <w:bCs/>
                <w:i/>
                <w:color w:val="000000"/>
              </w:rPr>
              <w:t>how did project serve men and women, identify # of men/women served</w:t>
            </w:r>
            <w:r w:rsidRPr="005F2458">
              <w:rPr>
                <w:rFonts w:ascii="Arial" w:hAnsi="Arial" w:cs="Arial"/>
                <w:b/>
                <w:bCs/>
                <w:color w:val="000000"/>
              </w:rPr>
              <w:t>)</w:t>
            </w:r>
          </w:p>
        </w:tc>
      </w:tr>
      <w:tr w:rsidR="005F2458" w:rsidRPr="000F0C74" w:rsidTr="00690A67">
        <w:tc>
          <w:tcPr>
            <w:tcW w:w="16020" w:type="dxa"/>
          </w:tcPr>
          <w:p w:rsidR="00832F39" w:rsidRDefault="00832F39" w:rsidP="008263C8">
            <w:r>
              <w:t>Ratio of women to men</w:t>
            </w:r>
          </w:p>
          <w:p w:rsidR="002C1E5F" w:rsidRDefault="00832F39" w:rsidP="008263C8">
            <w:r>
              <w:t>Stocktaking Exercise (4:31)</w:t>
            </w:r>
          </w:p>
          <w:p w:rsidR="00832F39" w:rsidRDefault="00832F39" w:rsidP="008263C8">
            <w:r>
              <w:t>Inaugurations of RPCs (27:90)</w:t>
            </w:r>
          </w:p>
          <w:p w:rsidR="00832F39" w:rsidRDefault="00832F39" w:rsidP="008263C8">
            <w:r>
              <w:t>Media Training (6:50)</w:t>
            </w:r>
          </w:p>
          <w:p w:rsidR="00060C55" w:rsidRDefault="00060C55" w:rsidP="008263C8">
            <w:r>
              <w:t xml:space="preserve">Workshop on </w:t>
            </w:r>
            <w:r w:rsidRPr="00060C55">
              <w:t>GHANAP 1325</w:t>
            </w:r>
            <w:r>
              <w:t xml:space="preserve"> (28:22)</w:t>
            </w:r>
          </w:p>
          <w:p w:rsidR="00B77C34" w:rsidRPr="000F0C74" w:rsidRDefault="00B77C34" w:rsidP="008263C8"/>
        </w:tc>
      </w:tr>
    </w:tbl>
    <w:p w:rsidR="005F2458" w:rsidRDefault="005F2458"/>
    <w:tbl>
      <w:tblPr>
        <w:tblStyle w:val="TableGrid"/>
        <w:tblW w:w="16020" w:type="dxa"/>
        <w:tblInd w:w="-882" w:type="dxa"/>
        <w:tblLook w:val="04A0" w:firstRow="1" w:lastRow="0" w:firstColumn="1" w:lastColumn="0" w:noHBand="0" w:noVBand="1"/>
      </w:tblPr>
      <w:tblGrid>
        <w:gridCol w:w="16020"/>
      </w:tblGrid>
      <w:tr w:rsidR="00836C88" w:rsidRPr="000F0C74" w:rsidTr="00690A67">
        <w:tc>
          <w:tcPr>
            <w:tcW w:w="16020" w:type="dxa"/>
            <w:shd w:val="pct12" w:color="auto" w:fill="auto"/>
          </w:tcPr>
          <w:p w:rsidR="00836C88" w:rsidRPr="00042BF9" w:rsidRDefault="000F0C74" w:rsidP="002C1E5F">
            <w:pPr>
              <w:spacing w:before="120" w:after="120"/>
              <w:rPr>
                <w:rFonts w:ascii="Arial" w:hAnsi="Arial" w:cs="Arial"/>
                <w:b/>
                <w:i/>
              </w:rPr>
            </w:pPr>
            <w:r w:rsidRPr="00042BF9">
              <w:rPr>
                <w:rFonts w:ascii="Arial" w:hAnsi="Arial" w:cs="Arial"/>
                <w:b/>
              </w:rPr>
              <w:t xml:space="preserve">IV. </w:t>
            </w:r>
            <w:r w:rsidR="00836C88" w:rsidRPr="00042BF9">
              <w:rPr>
                <w:rFonts w:ascii="Arial" w:hAnsi="Arial" w:cs="Arial"/>
                <w:b/>
              </w:rPr>
              <w:t xml:space="preserve">Lessons Learnt: </w:t>
            </w:r>
            <w:r w:rsidR="00836C88" w:rsidRPr="00042BF9">
              <w:rPr>
                <w:rFonts w:ascii="Arial" w:hAnsi="Arial" w:cs="Arial"/>
                <w:b/>
                <w:i/>
              </w:rPr>
              <w:t>(</w:t>
            </w:r>
            <w:r w:rsidR="00A41ABF">
              <w:rPr>
                <w:rFonts w:ascii="Arial" w:hAnsi="Arial" w:cs="Arial"/>
                <w:b/>
                <w:i/>
              </w:rPr>
              <w:t>Please describe new understanding</w:t>
            </w:r>
            <w:bookmarkStart w:id="0" w:name="_GoBack"/>
            <w:bookmarkEnd w:id="0"/>
            <w:r w:rsidR="00A41ABF">
              <w:rPr>
                <w:rFonts w:ascii="Arial" w:hAnsi="Arial" w:cs="Arial"/>
                <w:b/>
                <w:i/>
              </w:rPr>
              <w:t xml:space="preserve"> or insights</w:t>
            </w:r>
            <w:r w:rsidR="00836C88" w:rsidRPr="00042BF9">
              <w:rPr>
                <w:rFonts w:ascii="Arial" w:hAnsi="Arial" w:cs="Arial"/>
                <w:b/>
                <w:i/>
              </w:rPr>
              <w:t xml:space="preserve"> gained from project activities </w:t>
            </w:r>
            <w:r w:rsidR="00A41ABF" w:rsidRPr="00042BF9">
              <w:rPr>
                <w:rFonts w:ascii="Arial" w:hAnsi="Arial" w:cs="Arial"/>
                <w:b/>
                <w:i/>
              </w:rPr>
              <w:t>that</w:t>
            </w:r>
            <w:r w:rsidR="00A41ABF">
              <w:rPr>
                <w:rFonts w:ascii="Arial" w:hAnsi="Arial" w:cs="Arial"/>
                <w:b/>
                <w:i/>
              </w:rPr>
              <w:t xml:space="preserve"> can contribute to improving future project design and implementation</w:t>
            </w:r>
            <w:r w:rsidR="00836C88" w:rsidRPr="00042BF9">
              <w:rPr>
                <w:rFonts w:ascii="Arial" w:hAnsi="Arial" w:cs="Arial"/>
                <w:b/>
                <w:i/>
              </w:rPr>
              <w:t>.</w:t>
            </w:r>
            <w:r w:rsidR="00A41ABF">
              <w:rPr>
                <w:rFonts w:ascii="Arial" w:hAnsi="Arial" w:cs="Arial"/>
                <w:b/>
                <w:i/>
              </w:rPr>
              <w:t xml:space="preserve"> Give specific examples</w:t>
            </w:r>
            <w:r w:rsidR="00836C88" w:rsidRPr="00042BF9">
              <w:rPr>
                <w:rFonts w:ascii="Arial" w:hAnsi="Arial" w:cs="Arial"/>
                <w:b/>
                <w:i/>
              </w:rPr>
              <w:t>)</w:t>
            </w:r>
          </w:p>
        </w:tc>
      </w:tr>
      <w:tr w:rsidR="00836C88" w:rsidRPr="000F0C74" w:rsidTr="00690A67">
        <w:tc>
          <w:tcPr>
            <w:tcW w:w="16020" w:type="dxa"/>
          </w:tcPr>
          <w:p w:rsidR="00836C88" w:rsidRDefault="00832F39" w:rsidP="008770DD">
            <w:pPr>
              <w:pStyle w:val="ListParagraph"/>
              <w:numPr>
                <w:ilvl w:val="0"/>
                <w:numId w:val="5"/>
              </w:numPr>
            </w:pPr>
            <w:r>
              <w:t xml:space="preserve">There is the need to always make </w:t>
            </w:r>
            <w:r w:rsidR="008770DD">
              <w:t xml:space="preserve">a conscious effort </w:t>
            </w:r>
            <w:r>
              <w:t xml:space="preserve">to include more women in the activities of the NPC to ensure that many more women can benefit from the activities of the council. </w:t>
            </w:r>
            <w:r w:rsidR="008770DD">
              <w:t>If this is done women can play a prominent role in helping the council to execute its mandate of preventing conflicts and building peace in Ghana.</w:t>
            </w:r>
          </w:p>
          <w:p w:rsidR="008770DD" w:rsidRDefault="008770DD" w:rsidP="008770DD">
            <w:pPr>
              <w:pStyle w:val="ListParagraph"/>
              <w:numPr>
                <w:ilvl w:val="0"/>
                <w:numId w:val="5"/>
              </w:numPr>
            </w:pPr>
            <w:r>
              <w:t>The need for the NPC to be seen to be neutral and objective in the execution of its mandate.</w:t>
            </w:r>
          </w:p>
          <w:p w:rsidR="008770DD" w:rsidRDefault="008770DD" w:rsidP="009930F9"/>
          <w:p w:rsidR="00B77C34" w:rsidRPr="000F0C74" w:rsidRDefault="00B77C34" w:rsidP="009930F9"/>
        </w:tc>
      </w:tr>
    </w:tbl>
    <w:p w:rsidR="00A41ABF" w:rsidRPr="000F0C74" w:rsidRDefault="00A41ABF"/>
    <w:tbl>
      <w:tblPr>
        <w:tblStyle w:val="TableGrid"/>
        <w:tblW w:w="16020" w:type="dxa"/>
        <w:tblInd w:w="-882" w:type="dxa"/>
        <w:tblLook w:val="04A0" w:firstRow="1" w:lastRow="0" w:firstColumn="1" w:lastColumn="0" w:noHBand="0" w:noVBand="1"/>
      </w:tblPr>
      <w:tblGrid>
        <w:gridCol w:w="16020"/>
      </w:tblGrid>
      <w:tr w:rsidR="00836C88" w:rsidRPr="000F0C74" w:rsidTr="00690A67">
        <w:tc>
          <w:tcPr>
            <w:tcW w:w="16020" w:type="dxa"/>
            <w:shd w:val="pct12" w:color="auto" w:fill="auto"/>
          </w:tcPr>
          <w:p w:rsidR="00836C88" w:rsidRPr="00042BF9" w:rsidRDefault="000F0C74" w:rsidP="002C1E5F">
            <w:pPr>
              <w:spacing w:before="120" w:after="120"/>
              <w:rPr>
                <w:rFonts w:ascii="Arial" w:hAnsi="Arial" w:cs="Arial"/>
                <w:b/>
              </w:rPr>
            </w:pPr>
            <w:r w:rsidRPr="00042BF9">
              <w:rPr>
                <w:rFonts w:ascii="Arial" w:hAnsi="Arial" w:cs="Arial"/>
                <w:b/>
              </w:rPr>
              <w:t xml:space="preserve">V. </w:t>
            </w:r>
            <w:r w:rsidR="00836C88" w:rsidRPr="00042BF9">
              <w:rPr>
                <w:rFonts w:ascii="Arial" w:hAnsi="Arial" w:cs="Arial"/>
                <w:b/>
              </w:rPr>
              <w:t xml:space="preserve">Innovative Initiatives: </w:t>
            </w:r>
            <w:r w:rsidR="00836C88" w:rsidRPr="00042BF9">
              <w:rPr>
                <w:rFonts w:ascii="Arial" w:hAnsi="Arial" w:cs="Arial"/>
                <w:b/>
                <w:i/>
              </w:rPr>
              <w:t>(</w:t>
            </w:r>
            <w:r w:rsidR="005F2458">
              <w:rPr>
                <w:rFonts w:ascii="Arial" w:hAnsi="Arial" w:cs="Arial"/>
                <w:b/>
                <w:i/>
              </w:rPr>
              <w:t>Please describe</w:t>
            </w:r>
            <w:r w:rsidR="00836C88" w:rsidRPr="00042BF9">
              <w:rPr>
                <w:rFonts w:ascii="Arial" w:hAnsi="Arial" w:cs="Arial"/>
                <w:b/>
                <w:i/>
              </w:rPr>
              <w:t xml:space="preserve"> new/pioneering actions (internal or external) taken during the year that contributed to the project being effective. Effectiveness here can be taken to mean improving practice or processes that aided positive project achievements)</w:t>
            </w:r>
            <w:r w:rsidR="00836C88" w:rsidRPr="00042BF9">
              <w:rPr>
                <w:rFonts w:ascii="Arial" w:hAnsi="Arial" w:cs="Arial"/>
                <w:b/>
              </w:rPr>
              <w:t>.</w:t>
            </w:r>
          </w:p>
        </w:tc>
      </w:tr>
      <w:tr w:rsidR="00836C88" w:rsidRPr="000F0C74" w:rsidTr="00690A67">
        <w:tc>
          <w:tcPr>
            <w:tcW w:w="16020" w:type="dxa"/>
          </w:tcPr>
          <w:p w:rsidR="00836C88" w:rsidRDefault="00E866D0" w:rsidP="00060C55">
            <w:pPr>
              <w:pStyle w:val="ListParagraph"/>
              <w:numPr>
                <w:ilvl w:val="0"/>
                <w:numId w:val="6"/>
              </w:numPr>
            </w:pPr>
            <w:r>
              <w:t>The inclusion of people with local knowledge and experiences in the mediation efforts of the NPC has played a significant role in helping to bring factions together to resolve their differences.</w:t>
            </w:r>
          </w:p>
          <w:p w:rsidR="00060C55" w:rsidRPr="000F0C74" w:rsidRDefault="00060C55" w:rsidP="00060C55">
            <w:pPr>
              <w:pStyle w:val="ListParagraph"/>
              <w:numPr>
                <w:ilvl w:val="0"/>
                <w:numId w:val="6"/>
              </w:numPr>
            </w:pPr>
            <w:r>
              <w:t>Collaborations with other agencies to execute activities.</w:t>
            </w:r>
          </w:p>
          <w:p w:rsidR="00B77C34" w:rsidRPr="000F0C74" w:rsidRDefault="00B77C34" w:rsidP="009930F9"/>
        </w:tc>
      </w:tr>
    </w:tbl>
    <w:p w:rsidR="00836C88" w:rsidRDefault="00836C88"/>
    <w:p w:rsidR="00D66B18" w:rsidRDefault="00D66B18"/>
    <w:sectPr w:rsidR="00D66B18" w:rsidSect="005A688A">
      <w:pgSz w:w="16839" w:h="11907" w:orient="landscape" w:code="9"/>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321B"/>
    <w:multiLevelType w:val="hybridMultilevel"/>
    <w:tmpl w:val="ED68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E22A4"/>
    <w:multiLevelType w:val="hybridMultilevel"/>
    <w:tmpl w:val="FC2E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956D0"/>
    <w:multiLevelType w:val="hybridMultilevel"/>
    <w:tmpl w:val="50D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151B4E"/>
    <w:multiLevelType w:val="hybridMultilevel"/>
    <w:tmpl w:val="666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880CE9"/>
    <w:multiLevelType w:val="hybridMultilevel"/>
    <w:tmpl w:val="92FEB44E"/>
    <w:lvl w:ilvl="0" w:tplc="7174E48C">
      <w:start w:val="2"/>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97388"/>
    <w:multiLevelType w:val="hybridMultilevel"/>
    <w:tmpl w:val="D6EE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5A"/>
    <w:rsid w:val="00020C35"/>
    <w:rsid w:val="00042BF9"/>
    <w:rsid w:val="00060C55"/>
    <w:rsid w:val="000B13CC"/>
    <w:rsid w:val="000C7326"/>
    <w:rsid w:val="000E205A"/>
    <w:rsid w:val="000F0C74"/>
    <w:rsid w:val="00101CB2"/>
    <w:rsid w:val="0015392B"/>
    <w:rsid w:val="001728F9"/>
    <w:rsid w:val="00192FA2"/>
    <w:rsid w:val="001E2C65"/>
    <w:rsid w:val="001F7865"/>
    <w:rsid w:val="00291310"/>
    <w:rsid w:val="002A26D1"/>
    <w:rsid w:val="002C1E5F"/>
    <w:rsid w:val="002D276D"/>
    <w:rsid w:val="002F229E"/>
    <w:rsid w:val="003321D6"/>
    <w:rsid w:val="00355881"/>
    <w:rsid w:val="003767DF"/>
    <w:rsid w:val="003A0823"/>
    <w:rsid w:val="004061AC"/>
    <w:rsid w:val="004679CB"/>
    <w:rsid w:val="004A4C01"/>
    <w:rsid w:val="004B4843"/>
    <w:rsid w:val="004B62ED"/>
    <w:rsid w:val="004C1D73"/>
    <w:rsid w:val="004D708A"/>
    <w:rsid w:val="00537B3E"/>
    <w:rsid w:val="005A688A"/>
    <w:rsid w:val="005D7BA5"/>
    <w:rsid w:val="005F2458"/>
    <w:rsid w:val="006820C4"/>
    <w:rsid w:val="00690A67"/>
    <w:rsid w:val="0074532F"/>
    <w:rsid w:val="00752CDD"/>
    <w:rsid w:val="0076005D"/>
    <w:rsid w:val="007A00A9"/>
    <w:rsid w:val="007D7670"/>
    <w:rsid w:val="00805037"/>
    <w:rsid w:val="00832F39"/>
    <w:rsid w:val="00836C88"/>
    <w:rsid w:val="008770DD"/>
    <w:rsid w:val="00954683"/>
    <w:rsid w:val="0098208B"/>
    <w:rsid w:val="009A3292"/>
    <w:rsid w:val="00A1069A"/>
    <w:rsid w:val="00A37E57"/>
    <w:rsid w:val="00A41ABF"/>
    <w:rsid w:val="00AD654F"/>
    <w:rsid w:val="00B10E28"/>
    <w:rsid w:val="00B25C9B"/>
    <w:rsid w:val="00B624CE"/>
    <w:rsid w:val="00B63640"/>
    <w:rsid w:val="00B77C34"/>
    <w:rsid w:val="00B86073"/>
    <w:rsid w:val="00B924C2"/>
    <w:rsid w:val="00BB33AE"/>
    <w:rsid w:val="00BE7354"/>
    <w:rsid w:val="00C123D3"/>
    <w:rsid w:val="00C37F07"/>
    <w:rsid w:val="00C52584"/>
    <w:rsid w:val="00C52F9D"/>
    <w:rsid w:val="00C75243"/>
    <w:rsid w:val="00C800FD"/>
    <w:rsid w:val="00C9306C"/>
    <w:rsid w:val="00C94C5A"/>
    <w:rsid w:val="00C95516"/>
    <w:rsid w:val="00D531D6"/>
    <w:rsid w:val="00D6467E"/>
    <w:rsid w:val="00D66B18"/>
    <w:rsid w:val="00DA0CE1"/>
    <w:rsid w:val="00DE2504"/>
    <w:rsid w:val="00E82047"/>
    <w:rsid w:val="00E866D0"/>
    <w:rsid w:val="00F010A3"/>
    <w:rsid w:val="00F52935"/>
    <w:rsid w:val="00F5632B"/>
    <w:rsid w:val="00F66BA9"/>
    <w:rsid w:val="00FC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77C34"/>
    <w:pPr>
      <w:keepNext/>
      <w:spacing w:after="0" w:line="240" w:lineRule="auto"/>
      <w:jc w:val="center"/>
      <w:outlineLvl w:val="2"/>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C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4C5A"/>
    <w:pPr>
      <w:ind w:left="720"/>
      <w:contextualSpacing/>
    </w:pPr>
    <w:rPr>
      <w:rFonts w:ascii="Calibri" w:eastAsia="Calibri" w:hAnsi="Calibri" w:cs="Times New Roman"/>
    </w:rPr>
  </w:style>
  <w:style w:type="paragraph" w:styleId="NoSpacing">
    <w:name w:val="No Spacing"/>
    <w:uiPriority w:val="1"/>
    <w:qFormat/>
    <w:rsid w:val="00954683"/>
    <w:pPr>
      <w:spacing w:after="0" w:line="240" w:lineRule="auto"/>
    </w:pPr>
  </w:style>
  <w:style w:type="character" w:customStyle="1" w:styleId="Heading3Char">
    <w:name w:val="Heading 3 Char"/>
    <w:basedOn w:val="DefaultParagraphFont"/>
    <w:link w:val="Heading3"/>
    <w:rsid w:val="00B77C34"/>
    <w:rPr>
      <w:rFonts w:ascii="Times New Roman" w:eastAsia="Times New Roman" w:hAnsi="Times New Roman" w:cs="Times New Roman"/>
      <w:b/>
      <w:bCs/>
      <w:sz w:val="24"/>
      <w:szCs w:val="24"/>
      <w:u w:val="single"/>
      <w:lang w:val="en-GB"/>
    </w:rPr>
  </w:style>
  <w:style w:type="paragraph" w:styleId="Title">
    <w:name w:val="Title"/>
    <w:basedOn w:val="Normal"/>
    <w:link w:val="TitleChar"/>
    <w:qFormat/>
    <w:rsid w:val="00B77C34"/>
    <w:pPr>
      <w:spacing w:after="0" w:line="240" w:lineRule="auto"/>
      <w:jc w:val="center"/>
    </w:pPr>
    <w:rPr>
      <w:rFonts w:ascii="Times New Roman" w:eastAsia="Times New Roman" w:hAnsi="Times New Roman" w:cs="Times New Roman"/>
      <w:sz w:val="24"/>
      <w:szCs w:val="24"/>
      <w:u w:val="single"/>
      <w:lang w:val="en-GB"/>
    </w:rPr>
  </w:style>
  <w:style w:type="character" w:customStyle="1" w:styleId="TitleChar">
    <w:name w:val="Title Char"/>
    <w:basedOn w:val="DefaultParagraphFont"/>
    <w:link w:val="Title"/>
    <w:rsid w:val="00B77C34"/>
    <w:rPr>
      <w:rFonts w:ascii="Times New Roman" w:eastAsia="Times New Roman" w:hAnsi="Times New Roman" w:cs="Times New Roman"/>
      <w:sz w:val="24"/>
      <w:szCs w:val="24"/>
      <w:u w:val="single"/>
      <w:lang w:val="en-GB"/>
    </w:rPr>
  </w:style>
  <w:style w:type="paragraph" w:styleId="BalloonText">
    <w:name w:val="Balloon Text"/>
    <w:basedOn w:val="Normal"/>
    <w:link w:val="BalloonTextChar"/>
    <w:uiPriority w:val="99"/>
    <w:semiHidden/>
    <w:unhideWhenUsed/>
    <w:rsid w:val="00B7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77C34"/>
    <w:pPr>
      <w:keepNext/>
      <w:spacing w:after="0" w:line="240" w:lineRule="auto"/>
      <w:jc w:val="center"/>
      <w:outlineLvl w:val="2"/>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C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4C5A"/>
    <w:pPr>
      <w:ind w:left="720"/>
      <w:contextualSpacing/>
    </w:pPr>
    <w:rPr>
      <w:rFonts w:ascii="Calibri" w:eastAsia="Calibri" w:hAnsi="Calibri" w:cs="Times New Roman"/>
    </w:rPr>
  </w:style>
  <w:style w:type="paragraph" w:styleId="NoSpacing">
    <w:name w:val="No Spacing"/>
    <w:uiPriority w:val="1"/>
    <w:qFormat/>
    <w:rsid w:val="00954683"/>
    <w:pPr>
      <w:spacing w:after="0" w:line="240" w:lineRule="auto"/>
    </w:pPr>
  </w:style>
  <w:style w:type="character" w:customStyle="1" w:styleId="Heading3Char">
    <w:name w:val="Heading 3 Char"/>
    <w:basedOn w:val="DefaultParagraphFont"/>
    <w:link w:val="Heading3"/>
    <w:rsid w:val="00B77C34"/>
    <w:rPr>
      <w:rFonts w:ascii="Times New Roman" w:eastAsia="Times New Roman" w:hAnsi="Times New Roman" w:cs="Times New Roman"/>
      <w:b/>
      <w:bCs/>
      <w:sz w:val="24"/>
      <w:szCs w:val="24"/>
      <w:u w:val="single"/>
      <w:lang w:val="en-GB"/>
    </w:rPr>
  </w:style>
  <w:style w:type="paragraph" w:styleId="Title">
    <w:name w:val="Title"/>
    <w:basedOn w:val="Normal"/>
    <w:link w:val="TitleChar"/>
    <w:qFormat/>
    <w:rsid w:val="00B77C34"/>
    <w:pPr>
      <w:spacing w:after="0" w:line="240" w:lineRule="auto"/>
      <w:jc w:val="center"/>
    </w:pPr>
    <w:rPr>
      <w:rFonts w:ascii="Times New Roman" w:eastAsia="Times New Roman" w:hAnsi="Times New Roman" w:cs="Times New Roman"/>
      <w:sz w:val="24"/>
      <w:szCs w:val="24"/>
      <w:u w:val="single"/>
      <w:lang w:val="en-GB"/>
    </w:rPr>
  </w:style>
  <w:style w:type="character" w:customStyle="1" w:styleId="TitleChar">
    <w:name w:val="Title Char"/>
    <w:basedOn w:val="DefaultParagraphFont"/>
    <w:link w:val="Title"/>
    <w:rsid w:val="00B77C34"/>
    <w:rPr>
      <w:rFonts w:ascii="Times New Roman" w:eastAsia="Times New Roman" w:hAnsi="Times New Roman" w:cs="Times New Roman"/>
      <w:sz w:val="24"/>
      <w:szCs w:val="24"/>
      <w:u w:val="single"/>
      <w:lang w:val="en-GB"/>
    </w:rPr>
  </w:style>
  <w:style w:type="paragraph" w:styleId="BalloonText">
    <w:name w:val="Balloon Text"/>
    <w:basedOn w:val="Normal"/>
    <w:link w:val="BalloonTextChar"/>
    <w:uiPriority w:val="99"/>
    <w:semiHidden/>
    <w:unhideWhenUsed/>
    <w:rsid w:val="00B7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1787">
      <w:bodyDiv w:val="1"/>
      <w:marLeft w:val="0"/>
      <w:marRight w:val="0"/>
      <w:marTop w:val="0"/>
      <w:marBottom w:val="0"/>
      <w:divBdr>
        <w:top w:val="none" w:sz="0" w:space="0" w:color="auto"/>
        <w:left w:val="none" w:sz="0" w:space="0" w:color="auto"/>
        <w:bottom w:val="none" w:sz="0" w:space="0" w:color="auto"/>
        <w:right w:val="none" w:sz="0" w:space="0" w:color="auto"/>
      </w:divBdr>
    </w:div>
    <w:div w:id="151194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2015-09-17T14:00:00+00:00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00065055</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ATLASPDC-4-38532</_dlc_DocId>
    <_dlc_DocIdUrl xmlns="f1161f5b-24a3-4c2d-bc81-44cb9325e8ee">
      <Url>https://info.undp.org/docs/pdc/_layouts/DocIdRedir.aspx?ID=ATLASPDC-4-38532</Url>
      <Description>ATLASPDC-4-38532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79BEF-8E4C-4ABD-A5C3-C2DA2419DEDC}"/>
</file>

<file path=customXml/itemProps2.xml><?xml version="1.0" encoding="utf-8"?>
<ds:datastoreItem xmlns:ds="http://schemas.openxmlformats.org/officeDocument/2006/customXml" ds:itemID="{3EAAA2C5-B075-4769-A6F3-B895A6BA789B}"/>
</file>

<file path=customXml/itemProps3.xml><?xml version="1.0" encoding="utf-8"?>
<ds:datastoreItem xmlns:ds="http://schemas.openxmlformats.org/officeDocument/2006/customXml" ds:itemID="{F1C9C90F-CD1E-4CEB-9411-504E24682E3F}"/>
</file>

<file path=customXml/itemProps4.xml><?xml version="1.0" encoding="utf-8"?>
<ds:datastoreItem xmlns:ds="http://schemas.openxmlformats.org/officeDocument/2006/customXml" ds:itemID="{36F5F630-BE11-4237-8643-DAEC8632368D}"/>
</file>

<file path=customXml/itemProps5.xml><?xml version="1.0" encoding="utf-8"?>
<ds:datastoreItem xmlns:ds="http://schemas.openxmlformats.org/officeDocument/2006/customXml" ds:itemID="{C59E1692-AB69-43E3-AAEB-6B98E62BF497}"/>
</file>

<file path=customXml/itemProps6.xml><?xml version="1.0" encoding="utf-8"?>
<ds:datastoreItem xmlns:ds="http://schemas.openxmlformats.org/officeDocument/2006/customXml" ds:itemID="{D4D65FCB-498C-49A3-BD78-227B3C859FED}"/>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anvar.sabzaliev</dc:creator>
  <cp:lastModifiedBy>NATIONALPEACECOUNCIL</cp:lastModifiedBy>
  <cp:revision>2</cp:revision>
  <cp:lastPrinted>2010-03-30T19:14:00Z</cp:lastPrinted>
  <dcterms:created xsi:type="dcterms:W3CDTF">2014-11-06T13:58:00Z</dcterms:created>
  <dcterms:modified xsi:type="dcterms:W3CDTF">2014-11-06T13:58:00Z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0468577b-0c44-4271-866d-a605e1e1b2c0</vt:lpwstr>
  </property>
  <property fmtid="{D5CDD505-2E9C-101B-9397-08002B2CF9AE}" pid="18" name="URL">
    <vt:lpwstr/>
  </property>
  <property fmtid="{D5CDD505-2E9C-101B-9397-08002B2CF9AE}" pid="19" name="DocumentSetDescription">
    <vt:lpwstr/>
  </property>
</Properties>
</file>